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0B9A7E78" w14:textId="77777777" w:rsidR="002572EC" w:rsidRDefault="00052B6D" w:rsidP="002572EC">
      <w:pPr>
        <w:spacing w:line="100" w:lineRule="atLeast"/>
        <w:rPr>
          <w:rFonts w:eastAsia="Times New Roman"/>
          <w:b/>
          <w:color w:val="FF0000"/>
          <w:sz w:val="24"/>
          <w:szCs w:val="24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C83EC6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FA741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  <w:r w:rsidR="002572EC">
        <w:rPr>
          <w:rFonts w:eastAsia="Times New Roman"/>
          <w:b/>
          <w:color w:val="FF0000"/>
          <w:sz w:val="24"/>
          <w:szCs w:val="24"/>
        </w:rPr>
        <w:t xml:space="preserve">с «29» сентября    по    «02»   октября   </w:t>
      </w:r>
    </w:p>
    <w:p w14:paraId="40F26B67" w14:textId="77777777" w:rsidR="002572EC" w:rsidRDefault="002572EC" w:rsidP="002572EC">
      <w:pPr>
        <w:spacing w:line="100" w:lineRule="atLeast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                           с «13» октября     по </w:t>
      </w:r>
      <w:proofErr w:type="gramStart"/>
      <w:r>
        <w:rPr>
          <w:rFonts w:eastAsia="Times New Roman"/>
          <w:b/>
          <w:color w:val="FF0000"/>
          <w:sz w:val="24"/>
          <w:szCs w:val="24"/>
        </w:rPr>
        <w:t xml:space="preserve">   «</w:t>
      </w:r>
      <w:proofErr w:type="gramEnd"/>
      <w:r>
        <w:rPr>
          <w:rFonts w:eastAsia="Times New Roman"/>
          <w:b/>
          <w:color w:val="FF0000"/>
          <w:sz w:val="24"/>
          <w:szCs w:val="24"/>
        </w:rPr>
        <w:t xml:space="preserve">16»   октября </w:t>
      </w:r>
      <w:r>
        <w:rPr>
          <w:rFonts w:ascii="Arial" w:eastAsia="Times New Roman" w:hAnsi="Arial" w:cs="Arial"/>
          <w:b/>
          <w:bCs/>
          <w:color w:val="FF3333"/>
          <w:sz w:val="23"/>
          <w:szCs w:val="24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FF3333"/>
          <w:sz w:val="23"/>
          <w:szCs w:val="24"/>
        </w:rPr>
        <w:t>Midas</w:t>
      </w:r>
      <w:proofErr w:type="spellEnd"/>
      <w:r>
        <w:rPr>
          <w:rFonts w:ascii="Arial" w:eastAsia="Times New Roman" w:hAnsi="Arial" w:cs="Arial"/>
          <w:b/>
          <w:bCs/>
          <w:color w:val="FF3333"/>
          <w:sz w:val="23"/>
          <w:szCs w:val="24"/>
        </w:rPr>
        <w:t>)</w:t>
      </w:r>
      <w:r>
        <w:rPr>
          <w:rFonts w:eastAsia="Times New Roman"/>
          <w:b/>
          <w:bCs/>
          <w:color w:val="FF3333"/>
          <w:sz w:val="24"/>
          <w:szCs w:val="24"/>
        </w:rPr>
        <w:t xml:space="preserve"> </w:t>
      </w:r>
    </w:p>
    <w:p w14:paraId="4FC9CE8F" w14:textId="2326F42E" w:rsidR="009B6836" w:rsidRDefault="002572EC" w:rsidP="002572EC">
      <w:pPr>
        <w:spacing w:line="100" w:lineRule="atLeast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                           с «27» октября     по </w:t>
      </w:r>
      <w:proofErr w:type="gramStart"/>
      <w:r>
        <w:rPr>
          <w:rFonts w:eastAsia="Times New Roman"/>
          <w:b/>
          <w:color w:val="FF0000"/>
          <w:sz w:val="24"/>
          <w:szCs w:val="24"/>
        </w:rPr>
        <w:t xml:space="preserve">   «</w:t>
      </w:r>
      <w:proofErr w:type="gramEnd"/>
      <w:r>
        <w:rPr>
          <w:rFonts w:eastAsia="Times New Roman"/>
          <w:b/>
          <w:color w:val="FF0000"/>
          <w:sz w:val="24"/>
          <w:szCs w:val="24"/>
        </w:rPr>
        <w:t xml:space="preserve">30»   октября   </w:t>
      </w:r>
      <w:bookmarkStart w:id="0" w:name="_GoBack"/>
      <w:bookmarkEnd w:id="0"/>
      <w:r>
        <w:rPr>
          <w:rFonts w:eastAsia="Times New Roman"/>
          <w:b/>
          <w:color w:val="FF0000"/>
          <w:sz w:val="24"/>
          <w:szCs w:val="24"/>
        </w:rPr>
        <w:t xml:space="preserve">  </w:t>
      </w:r>
    </w:p>
    <w:p w14:paraId="3482B79C" w14:textId="60AB3541" w:rsidR="002572EC" w:rsidRDefault="002572EC" w:rsidP="002572EC">
      <w:pPr>
        <w:spacing w:line="100" w:lineRule="atLeast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</w:t>
      </w:r>
      <w:r>
        <w:rPr>
          <w:rFonts w:eastAsia="Times New Roman"/>
          <w:b/>
          <w:color w:val="FF0000"/>
          <w:sz w:val="24"/>
          <w:szCs w:val="24"/>
        </w:rPr>
        <w:t xml:space="preserve">                           с «07» декабря     по </w:t>
      </w:r>
      <w:proofErr w:type="gramStart"/>
      <w:r>
        <w:rPr>
          <w:rFonts w:eastAsia="Times New Roman"/>
          <w:b/>
          <w:color w:val="FF0000"/>
          <w:sz w:val="24"/>
          <w:szCs w:val="24"/>
        </w:rPr>
        <w:t xml:space="preserve">   «</w:t>
      </w:r>
      <w:proofErr w:type="gramEnd"/>
      <w:r>
        <w:rPr>
          <w:rFonts w:eastAsia="Times New Roman"/>
          <w:b/>
          <w:color w:val="FF0000"/>
          <w:sz w:val="24"/>
          <w:szCs w:val="24"/>
        </w:rPr>
        <w:t>11»   декабря  2020 г.</w:t>
      </w:r>
      <w:r>
        <w:rPr>
          <w:rFonts w:eastAsia="Times New Roman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3333"/>
          <w:sz w:val="23"/>
          <w:szCs w:val="24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FF3333"/>
          <w:sz w:val="23"/>
          <w:szCs w:val="24"/>
        </w:rPr>
        <w:t>Midas</w:t>
      </w:r>
      <w:proofErr w:type="spellEnd"/>
      <w:r>
        <w:rPr>
          <w:rFonts w:ascii="Arial" w:eastAsia="Times New Roman" w:hAnsi="Arial" w:cs="Arial"/>
          <w:b/>
          <w:bCs/>
          <w:color w:val="FF3333"/>
          <w:sz w:val="23"/>
          <w:szCs w:val="24"/>
        </w:rPr>
        <w:t>)</w:t>
      </w:r>
      <w:r>
        <w:rPr>
          <w:rFonts w:eastAsia="Times New Roman"/>
          <w:b/>
          <w:bCs/>
          <w:color w:val="FF3333"/>
          <w:sz w:val="24"/>
          <w:szCs w:val="24"/>
        </w:rPr>
        <w:t xml:space="preserve"> </w:t>
      </w:r>
    </w:p>
    <w:p w14:paraId="379399DE" w14:textId="77777777" w:rsidR="002572EC" w:rsidRPr="002572EC" w:rsidRDefault="002572EC" w:rsidP="002572EC">
      <w:pPr>
        <w:spacing w:line="100" w:lineRule="atLeast"/>
        <w:rPr>
          <w:rFonts w:eastAsia="Times New Roman"/>
          <w:b/>
          <w:color w:val="FF0000"/>
          <w:sz w:val="24"/>
          <w:szCs w:val="24"/>
        </w:rPr>
      </w:pP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7155DA6B" w:rsidR="00645042" w:rsidRDefault="009217F1" w:rsidP="00645042">
      <w:r>
        <w:t xml:space="preserve">Инженер-геотехник, </w:t>
      </w:r>
      <w:r w:rsidR="00645042">
        <w:t>Группа компаний «МИАКОМ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F74CB"/>
    <w:rsid w:val="00560BB3"/>
    <w:rsid w:val="00574D04"/>
    <w:rsid w:val="00576900"/>
    <w:rsid w:val="005C4AE4"/>
    <w:rsid w:val="005D37C9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D23C4"/>
    <w:rsid w:val="008F3BD3"/>
    <w:rsid w:val="00901350"/>
    <w:rsid w:val="00902A00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77B93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BB6F-662A-4B1B-B9CF-83391F24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53</cp:revision>
  <cp:lastPrinted>2020-09-25T09:10:00Z</cp:lastPrinted>
  <dcterms:created xsi:type="dcterms:W3CDTF">2017-12-05T13:40:00Z</dcterms:created>
  <dcterms:modified xsi:type="dcterms:W3CDTF">2020-09-25T09:11:00Z</dcterms:modified>
</cp:coreProperties>
</file>